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28" w:rsidRDefault="001C0625" w:rsidP="001C0625">
      <w:pPr>
        <w:pStyle w:val="NoSpacing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Dentistry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>COVID 19 Phase 3 Return</w:t>
      </w:r>
    </w:p>
    <w:p w:rsidR="001C0625" w:rsidRDefault="001C0625" w:rsidP="001C0625">
      <w:pPr>
        <w:pStyle w:val="NoSpacing"/>
        <w:rPr>
          <w:rFonts w:ascii="Tahoma" w:hAnsi="Tahoma" w:cs="Tahoma"/>
          <w:b/>
          <w:sz w:val="28"/>
          <w:szCs w:val="28"/>
        </w:rPr>
      </w:pPr>
    </w:p>
    <w:p w:rsidR="001C0625" w:rsidRDefault="001C0625" w:rsidP="001C0625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Phase 3 has been described by the Scottish Government as including “Routine” non-aerosol generating dental procedures. In reality this m</w:t>
      </w:r>
      <w:r w:rsidR="009D75EC">
        <w:rPr>
          <w:rFonts w:ascii="Tahoma" w:hAnsi="Tahoma" w:cs="Tahoma"/>
          <w:sz w:val="24"/>
          <w:szCs w:val="24"/>
        </w:rPr>
        <w:t>eans that in o</w:t>
      </w:r>
      <w:r w:rsidR="0020047B">
        <w:rPr>
          <w:rFonts w:ascii="Tahoma" w:hAnsi="Tahoma" w:cs="Tahoma"/>
          <w:sz w:val="24"/>
          <w:szCs w:val="24"/>
        </w:rPr>
        <w:t>rder to be seen by</w:t>
      </w:r>
      <w:r w:rsidR="009D75EC">
        <w:rPr>
          <w:rFonts w:ascii="Tahoma" w:hAnsi="Tahoma" w:cs="Tahoma"/>
          <w:sz w:val="24"/>
          <w:szCs w:val="24"/>
        </w:rPr>
        <w:t xml:space="preserve"> your own dentist, </w:t>
      </w:r>
      <w:r>
        <w:rPr>
          <w:rFonts w:ascii="Tahoma" w:hAnsi="Tahoma" w:cs="Tahoma"/>
          <w:sz w:val="24"/>
          <w:szCs w:val="24"/>
        </w:rPr>
        <w:t xml:space="preserve">you no longer have to be in severe pain. </w:t>
      </w:r>
      <w:r w:rsidRPr="001C0625">
        <w:rPr>
          <w:rFonts w:ascii="Tahoma" w:hAnsi="Tahoma" w:cs="Tahoma"/>
          <w:b/>
          <w:sz w:val="24"/>
          <w:szCs w:val="24"/>
        </w:rPr>
        <w:t>However</w:t>
      </w:r>
      <w:r>
        <w:rPr>
          <w:rFonts w:ascii="Tahoma" w:hAnsi="Tahoma" w:cs="Tahoma"/>
          <w:sz w:val="24"/>
          <w:szCs w:val="24"/>
        </w:rPr>
        <w:t xml:space="preserve">, many restrictions remain in place. First and foremost, due to social distancing our practice, with usually 5 working surgeries, is limited to a maximum of 2 surgeries open per day. Numbers of patients allowed to enter the practice are also strictly controlled. </w:t>
      </w:r>
      <w:r w:rsidR="009D75EC">
        <w:rPr>
          <w:rFonts w:ascii="Tahoma" w:hAnsi="Tahoma" w:cs="Tahoma"/>
          <w:sz w:val="24"/>
          <w:szCs w:val="24"/>
        </w:rPr>
        <w:t xml:space="preserve">One </w:t>
      </w:r>
      <w:r>
        <w:rPr>
          <w:rFonts w:ascii="Tahoma" w:hAnsi="Tahoma" w:cs="Tahoma"/>
          <w:sz w:val="24"/>
          <w:szCs w:val="24"/>
        </w:rPr>
        <w:t>of these surgeries</w:t>
      </w:r>
      <w:r w:rsidR="009D75E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per day</w:t>
      </w:r>
      <w:r w:rsidR="009D75E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will be dedicated to emergency care. The other surgery will be available for non emergency care. Under the restrictions a “routine” dental examination </w:t>
      </w:r>
      <w:r w:rsidRPr="009D75EC">
        <w:rPr>
          <w:rFonts w:ascii="Tahoma" w:hAnsi="Tahoma" w:cs="Tahoma"/>
          <w:b/>
          <w:sz w:val="24"/>
          <w:szCs w:val="24"/>
        </w:rPr>
        <w:t>is not</w:t>
      </w:r>
      <w:r>
        <w:rPr>
          <w:rFonts w:ascii="Tahoma" w:hAnsi="Tahoma" w:cs="Tahoma"/>
          <w:sz w:val="24"/>
          <w:szCs w:val="24"/>
        </w:rPr>
        <w:t xml:space="preserve"> possible. The following table will detail the differences between what is routine and what is possible in Phase 3.</w:t>
      </w:r>
    </w:p>
    <w:p w:rsidR="001C0625" w:rsidRDefault="001C0625" w:rsidP="001C0625">
      <w:pPr>
        <w:pStyle w:val="NoSpacing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284" w:type="dxa"/>
        <w:tblLook w:val="04A0"/>
      </w:tblPr>
      <w:tblGrid>
        <w:gridCol w:w="4642"/>
        <w:gridCol w:w="4642"/>
      </w:tblGrid>
      <w:tr w:rsidR="001C0625" w:rsidTr="001C0625">
        <w:trPr>
          <w:trHeight w:val="542"/>
        </w:trPr>
        <w:tc>
          <w:tcPr>
            <w:tcW w:w="4642" w:type="dxa"/>
          </w:tcPr>
          <w:p w:rsidR="001C0625" w:rsidRPr="001C0625" w:rsidRDefault="001C0625" w:rsidP="001C0625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Normal 6 Month Check up</w:t>
            </w:r>
          </w:p>
        </w:tc>
        <w:tc>
          <w:tcPr>
            <w:tcW w:w="4642" w:type="dxa"/>
          </w:tcPr>
          <w:p w:rsidR="001C0625" w:rsidRPr="001C0625" w:rsidRDefault="001C0625" w:rsidP="001C0625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0625">
              <w:rPr>
                <w:rFonts w:ascii="Tahoma" w:hAnsi="Tahoma" w:cs="Tahoma"/>
                <w:b/>
                <w:sz w:val="24"/>
                <w:szCs w:val="24"/>
              </w:rPr>
              <w:t>Phase 3 Oral Health Screening</w:t>
            </w:r>
          </w:p>
        </w:tc>
      </w:tr>
      <w:tr w:rsidR="001C0625" w:rsidTr="001C0625">
        <w:trPr>
          <w:trHeight w:val="542"/>
        </w:trPr>
        <w:tc>
          <w:tcPr>
            <w:tcW w:w="4642" w:type="dxa"/>
          </w:tcPr>
          <w:p w:rsidR="001C0625" w:rsidRDefault="001C0625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AB62EB">
              <w:rPr>
                <w:rFonts w:ascii="Tahoma" w:hAnsi="Tahoma" w:cs="Tahoma"/>
                <w:sz w:val="24"/>
                <w:szCs w:val="24"/>
              </w:rPr>
              <w:t>etailed d</w:t>
            </w:r>
            <w:r>
              <w:rPr>
                <w:rFonts w:ascii="Tahoma" w:hAnsi="Tahoma" w:cs="Tahoma"/>
                <w:sz w:val="24"/>
                <w:szCs w:val="24"/>
              </w:rPr>
              <w:t xml:space="preserve">iscussion of any current </w:t>
            </w:r>
            <w:r w:rsidR="00AB62EB">
              <w:rPr>
                <w:rFonts w:ascii="Tahoma" w:hAnsi="Tahoma" w:cs="Tahoma"/>
                <w:sz w:val="24"/>
                <w:szCs w:val="24"/>
              </w:rPr>
              <w:t xml:space="preserve">dental </w:t>
            </w:r>
            <w:r>
              <w:rPr>
                <w:rFonts w:ascii="Tahoma" w:hAnsi="Tahoma" w:cs="Tahoma"/>
                <w:sz w:val="24"/>
                <w:szCs w:val="24"/>
              </w:rPr>
              <w:t>complaints or issues</w:t>
            </w:r>
          </w:p>
        </w:tc>
        <w:tc>
          <w:tcPr>
            <w:tcW w:w="4642" w:type="dxa"/>
          </w:tcPr>
          <w:p w:rsidR="001C0625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Soft tissue examination with a dental mirror of the oral cavity (excluding the throat)</w:t>
            </w:r>
          </w:p>
        </w:tc>
      </w:tr>
      <w:tr w:rsidR="001C0625" w:rsidTr="001C0625">
        <w:trPr>
          <w:trHeight w:val="504"/>
        </w:trPr>
        <w:tc>
          <w:tcPr>
            <w:tcW w:w="4642" w:type="dxa"/>
          </w:tcPr>
          <w:p w:rsidR="001C0625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Full visual check of all soft tissues in and around the mouth including the top of the throat</w:t>
            </w:r>
          </w:p>
        </w:tc>
        <w:tc>
          <w:tcPr>
            <w:tcW w:w="4642" w:type="dxa"/>
          </w:tcPr>
          <w:p w:rsidR="001C0625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Oral cancer Screening examination</w:t>
            </w:r>
          </w:p>
        </w:tc>
      </w:tr>
      <w:tr w:rsidR="001C0625" w:rsidTr="001C0625">
        <w:trPr>
          <w:trHeight w:val="504"/>
        </w:trPr>
        <w:tc>
          <w:tcPr>
            <w:tcW w:w="4642" w:type="dxa"/>
          </w:tcPr>
          <w:p w:rsidR="001C0625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Oral Cancer screening examination</w:t>
            </w:r>
          </w:p>
        </w:tc>
        <w:tc>
          <w:tcPr>
            <w:tcW w:w="4642" w:type="dxa"/>
          </w:tcPr>
          <w:p w:rsidR="001C0625" w:rsidRDefault="001C0625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C0625" w:rsidTr="001C0625">
        <w:trPr>
          <w:trHeight w:val="504"/>
        </w:trPr>
        <w:tc>
          <w:tcPr>
            <w:tcW w:w="4642" w:type="dxa"/>
          </w:tcPr>
          <w:p w:rsidR="001C0625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 depth check of the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gingivae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(gums) using a specific instrument to assess gum disease</w:t>
            </w:r>
          </w:p>
        </w:tc>
        <w:tc>
          <w:tcPr>
            <w:tcW w:w="4642" w:type="dxa"/>
          </w:tcPr>
          <w:p w:rsidR="001C0625" w:rsidRDefault="001C0625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C0625" w:rsidTr="001C0625">
        <w:trPr>
          <w:trHeight w:val="504"/>
        </w:trPr>
        <w:tc>
          <w:tcPr>
            <w:tcW w:w="4642" w:type="dxa"/>
          </w:tcPr>
          <w:p w:rsidR="00AB62EB" w:rsidRDefault="00AB62EB" w:rsidP="00AB62EB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Full tooth by tooth examination using instruments and pressurised air to diagnose tooth decay, fractures and faulty fillings/crowns etc</w:t>
            </w:r>
          </w:p>
        </w:tc>
        <w:tc>
          <w:tcPr>
            <w:tcW w:w="4642" w:type="dxa"/>
          </w:tcPr>
          <w:p w:rsidR="001C0625" w:rsidRDefault="001C0625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C0625" w:rsidTr="001C0625">
        <w:trPr>
          <w:trHeight w:val="504"/>
        </w:trPr>
        <w:tc>
          <w:tcPr>
            <w:tcW w:w="4642" w:type="dxa"/>
          </w:tcPr>
          <w:p w:rsidR="001C0625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Taking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xrays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called “bitewings” to assess early stage decay and/or gum disease</w:t>
            </w:r>
          </w:p>
        </w:tc>
        <w:tc>
          <w:tcPr>
            <w:tcW w:w="4642" w:type="dxa"/>
          </w:tcPr>
          <w:p w:rsidR="001C0625" w:rsidRDefault="001C0625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62EB" w:rsidTr="001C0625">
        <w:trPr>
          <w:trHeight w:val="542"/>
        </w:trPr>
        <w:tc>
          <w:tcPr>
            <w:tcW w:w="4642" w:type="dxa"/>
          </w:tcPr>
          <w:p w:rsidR="00AB62EB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Placement of temporary fillings prior to planned treatment appointment(s)</w:t>
            </w:r>
          </w:p>
        </w:tc>
        <w:tc>
          <w:tcPr>
            <w:tcW w:w="4642" w:type="dxa"/>
          </w:tcPr>
          <w:p w:rsidR="00AB62EB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62EB" w:rsidTr="001C0625">
        <w:trPr>
          <w:trHeight w:val="542"/>
        </w:trPr>
        <w:tc>
          <w:tcPr>
            <w:tcW w:w="4642" w:type="dxa"/>
          </w:tcPr>
          <w:p w:rsidR="00AB62EB" w:rsidRDefault="00AB62EB">
            <w:r w:rsidRPr="007951C5">
              <w:rPr>
                <w:rFonts w:ascii="Tahoma" w:hAnsi="Tahoma" w:cs="Tahoma"/>
                <w:sz w:val="24"/>
                <w:szCs w:val="24"/>
              </w:rPr>
              <w:t>Full discussion of findings and discussion of plans for proposed treatments and any costs involved</w:t>
            </w:r>
          </w:p>
        </w:tc>
        <w:tc>
          <w:tcPr>
            <w:tcW w:w="4642" w:type="dxa"/>
          </w:tcPr>
          <w:p w:rsidR="00AB62EB" w:rsidRDefault="00AB62EB"/>
        </w:tc>
      </w:tr>
      <w:tr w:rsidR="001C0625" w:rsidTr="001C0625">
        <w:trPr>
          <w:trHeight w:val="542"/>
        </w:trPr>
        <w:tc>
          <w:tcPr>
            <w:tcW w:w="4642" w:type="dxa"/>
          </w:tcPr>
          <w:p w:rsidR="001C0625" w:rsidRDefault="00AB62EB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Lengthier discussions about oral hygiene and self care as part of ongoing dental health</w:t>
            </w:r>
          </w:p>
        </w:tc>
        <w:tc>
          <w:tcPr>
            <w:tcW w:w="4642" w:type="dxa"/>
          </w:tcPr>
          <w:p w:rsidR="001C0625" w:rsidRDefault="001C0625" w:rsidP="001C0625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C0625" w:rsidRDefault="001C0625" w:rsidP="001C0625">
      <w:pPr>
        <w:pStyle w:val="NoSpacing"/>
        <w:rPr>
          <w:rFonts w:ascii="Tahoma" w:hAnsi="Tahoma" w:cs="Tahoma"/>
          <w:sz w:val="24"/>
          <w:szCs w:val="24"/>
        </w:rPr>
      </w:pPr>
    </w:p>
    <w:p w:rsidR="001C0625" w:rsidRDefault="001C0625" w:rsidP="001C0625">
      <w:pPr>
        <w:pStyle w:val="NoSpacing"/>
        <w:rPr>
          <w:rFonts w:ascii="Tahoma" w:hAnsi="Tahoma" w:cs="Tahoma"/>
          <w:sz w:val="24"/>
          <w:szCs w:val="24"/>
        </w:rPr>
      </w:pPr>
    </w:p>
    <w:p w:rsidR="001C0625" w:rsidRPr="00A926F4" w:rsidRDefault="002F688C" w:rsidP="001C0625">
      <w:pPr>
        <w:pStyle w:val="NoSpacing"/>
        <w:rPr>
          <w:rFonts w:ascii="Tahoma" w:hAnsi="Tahoma" w:cs="Tahoma"/>
          <w:sz w:val="20"/>
          <w:szCs w:val="20"/>
        </w:rPr>
      </w:pPr>
      <w:r w:rsidRPr="00A926F4">
        <w:rPr>
          <w:rFonts w:ascii="Tahoma" w:hAnsi="Tahoma" w:cs="Tahoma"/>
          <w:sz w:val="20"/>
          <w:szCs w:val="20"/>
        </w:rPr>
        <w:t xml:space="preserve">These non-urgent appointments </w:t>
      </w:r>
      <w:r w:rsidRPr="00A926F4">
        <w:rPr>
          <w:rFonts w:ascii="Tahoma" w:hAnsi="Tahoma" w:cs="Tahoma"/>
          <w:b/>
          <w:sz w:val="20"/>
          <w:szCs w:val="20"/>
        </w:rPr>
        <w:t>will NOT allow</w:t>
      </w:r>
      <w:r w:rsidRPr="00A926F4">
        <w:rPr>
          <w:rFonts w:ascii="Tahoma" w:hAnsi="Tahoma" w:cs="Tahoma"/>
          <w:sz w:val="20"/>
          <w:szCs w:val="20"/>
        </w:rPr>
        <w:t xml:space="preserve"> for; temporary fillings to placed, </w:t>
      </w:r>
      <w:proofErr w:type="spellStart"/>
      <w:r w:rsidRPr="00A926F4">
        <w:rPr>
          <w:rFonts w:ascii="Tahoma" w:hAnsi="Tahoma" w:cs="Tahoma"/>
          <w:sz w:val="20"/>
          <w:szCs w:val="20"/>
        </w:rPr>
        <w:t>xrays</w:t>
      </w:r>
      <w:proofErr w:type="spellEnd"/>
      <w:r w:rsidRPr="00A926F4">
        <w:rPr>
          <w:rFonts w:ascii="Tahoma" w:hAnsi="Tahoma" w:cs="Tahoma"/>
          <w:sz w:val="20"/>
          <w:szCs w:val="20"/>
        </w:rPr>
        <w:t xml:space="preserve"> to be taken, proper diagnostic examinations to be carried out, treatment planning and discussion.</w:t>
      </w:r>
    </w:p>
    <w:p w:rsidR="008108F1" w:rsidRPr="00A926F4" w:rsidRDefault="008108F1" w:rsidP="001C0625">
      <w:pPr>
        <w:pStyle w:val="NoSpacing"/>
        <w:rPr>
          <w:rFonts w:ascii="Tahoma" w:hAnsi="Tahoma" w:cs="Tahoma"/>
          <w:sz w:val="20"/>
          <w:szCs w:val="20"/>
        </w:rPr>
      </w:pPr>
      <w:r w:rsidRPr="00A926F4">
        <w:rPr>
          <w:rFonts w:ascii="Tahoma" w:hAnsi="Tahoma" w:cs="Tahoma"/>
          <w:sz w:val="20"/>
          <w:szCs w:val="20"/>
        </w:rPr>
        <w:t>This is to limit exposure time for patients and our staff. Many procedures are not permitted due to the risk of gagging. Asymptomati</w:t>
      </w:r>
      <w:r w:rsidR="0020047B" w:rsidRPr="00A926F4">
        <w:rPr>
          <w:rFonts w:ascii="Tahoma" w:hAnsi="Tahoma" w:cs="Tahoma"/>
          <w:sz w:val="20"/>
          <w:szCs w:val="20"/>
        </w:rPr>
        <w:t xml:space="preserve">c </w:t>
      </w:r>
      <w:proofErr w:type="spellStart"/>
      <w:r w:rsidR="0020047B" w:rsidRPr="00A926F4">
        <w:rPr>
          <w:rFonts w:ascii="Tahoma" w:hAnsi="Tahoma" w:cs="Tahoma"/>
          <w:sz w:val="20"/>
          <w:szCs w:val="20"/>
        </w:rPr>
        <w:t>Covid</w:t>
      </w:r>
      <w:proofErr w:type="spellEnd"/>
      <w:r w:rsidR="0020047B" w:rsidRPr="00A926F4">
        <w:rPr>
          <w:rFonts w:ascii="Tahoma" w:hAnsi="Tahoma" w:cs="Tahoma"/>
          <w:sz w:val="20"/>
          <w:szCs w:val="20"/>
        </w:rPr>
        <w:t xml:space="preserve"> carriers shed mostly fro</w:t>
      </w:r>
      <w:r w:rsidRPr="00A926F4">
        <w:rPr>
          <w:rFonts w:ascii="Tahoma" w:hAnsi="Tahoma" w:cs="Tahoma"/>
          <w:sz w:val="20"/>
          <w:szCs w:val="20"/>
        </w:rPr>
        <w:t>m the throat and gagging and coughing increase the spread of these virus cells.</w:t>
      </w:r>
    </w:p>
    <w:p w:rsidR="002F688C" w:rsidRPr="00A926F4" w:rsidRDefault="002F688C" w:rsidP="001C0625">
      <w:pPr>
        <w:pStyle w:val="NoSpacing"/>
        <w:rPr>
          <w:rFonts w:ascii="Tahoma" w:hAnsi="Tahoma" w:cs="Tahoma"/>
          <w:sz w:val="20"/>
          <w:szCs w:val="20"/>
        </w:rPr>
      </w:pPr>
      <w:r w:rsidRPr="00A926F4">
        <w:rPr>
          <w:rFonts w:ascii="Tahoma" w:hAnsi="Tahoma" w:cs="Tahoma"/>
          <w:sz w:val="20"/>
          <w:szCs w:val="20"/>
        </w:rPr>
        <w:t>If you attend for a phase 3 Oral Health Screening appointment you will still be in need of a 6 month dental check up when those are once again permitted.</w:t>
      </w:r>
    </w:p>
    <w:sectPr w:rsidR="002F688C" w:rsidRPr="00A926F4" w:rsidSect="008B05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1C0625"/>
    <w:rsid w:val="001C0625"/>
    <w:rsid w:val="001F6681"/>
    <w:rsid w:val="0020047B"/>
    <w:rsid w:val="002F688C"/>
    <w:rsid w:val="008108F1"/>
    <w:rsid w:val="008B0593"/>
    <w:rsid w:val="009B178C"/>
    <w:rsid w:val="009D75EC"/>
    <w:rsid w:val="00A926F4"/>
    <w:rsid w:val="00AB62EB"/>
    <w:rsid w:val="00AF41D6"/>
    <w:rsid w:val="00EE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625"/>
    <w:pPr>
      <w:spacing w:after="0" w:line="240" w:lineRule="auto"/>
    </w:pPr>
  </w:style>
  <w:style w:type="table" w:styleId="TableGrid">
    <w:name w:val="Table Grid"/>
    <w:basedOn w:val="TableNormal"/>
    <w:uiPriority w:val="59"/>
    <w:rsid w:val="001C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2</cp:revision>
  <cp:lastPrinted>2020-07-10T08:29:00Z</cp:lastPrinted>
  <dcterms:created xsi:type="dcterms:W3CDTF">2020-07-10T08:51:00Z</dcterms:created>
  <dcterms:modified xsi:type="dcterms:W3CDTF">2020-07-10T08:51:00Z</dcterms:modified>
</cp:coreProperties>
</file>